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B1" w:rsidRPr="003C5DB1" w:rsidRDefault="003C5DB1" w:rsidP="003C5DB1">
      <w:pPr>
        <w:pStyle w:val="NoSpacing"/>
        <w:rPr>
          <w:rFonts w:ascii="Arial Narrow" w:hAnsi="Arial Narrow"/>
          <w:b/>
          <w:sz w:val="24"/>
          <w:szCs w:val="24"/>
        </w:rPr>
      </w:pPr>
      <w:r w:rsidRPr="003C5DB1">
        <w:rPr>
          <w:rFonts w:ascii="Arial Narrow" w:hAnsi="Arial Narrow"/>
          <w:b/>
          <w:sz w:val="24"/>
          <w:szCs w:val="24"/>
        </w:rPr>
        <w:t>New report:  evidence that depleted uranium can cause cancer now overwhelming</w:t>
      </w:r>
    </w:p>
    <w:p w:rsidR="003C5DB1" w:rsidRDefault="003C5DB1" w:rsidP="00ED0F0D">
      <w:pPr>
        <w:pStyle w:val="NoSpacing"/>
        <w:rPr>
          <w:rFonts w:ascii="Arial Narrow" w:hAnsi="Arial Narrow"/>
          <w:sz w:val="24"/>
          <w:szCs w:val="24"/>
        </w:rPr>
      </w:pPr>
    </w:p>
    <w:p w:rsidR="003C5DB1" w:rsidRDefault="00ED0F0D" w:rsidP="00ED0F0D">
      <w:pPr>
        <w:pStyle w:val="NoSpacing"/>
        <w:rPr>
          <w:rFonts w:ascii="Arial Narrow" w:hAnsi="Arial Narrow"/>
          <w:sz w:val="24"/>
          <w:szCs w:val="24"/>
        </w:rPr>
      </w:pPr>
      <w:r w:rsidRPr="00ED0F0D">
        <w:rPr>
          <w:rFonts w:ascii="Arial Narrow" w:hAnsi="Arial Narrow"/>
          <w:sz w:val="24"/>
          <w:szCs w:val="24"/>
        </w:rPr>
        <w:t>A new analysis of nearly 50 peer-reviewed studies has concluded that the chemically toxic and radioactive weapons constituent depleted uranium (DU) can damage DNA and cause cancer, the report calls for urgent studies into the extent to which civilians are being exposed to the substance.</w:t>
      </w:r>
      <w:r>
        <w:rPr>
          <w:rFonts w:ascii="Arial Narrow" w:hAnsi="Arial Narrow"/>
          <w:sz w:val="24"/>
          <w:szCs w:val="24"/>
        </w:rPr>
        <w:t xml:space="preserve"> </w:t>
      </w:r>
    </w:p>
    <w:p w:rsidR="003C5DB1" w:rsidRDefault="003C5DB1" w:rsidP="00ED0F0D">
      <w:pPr>
        <w:pStyle w:val="NoSpacing"/>
        <w:rPr>
          <w:rFonts w:ascii="Arial Narrow" w:hAnsi="Arial Narrow"/>
          <w:sz w:val="24"/>
          <w:szCs w:val="24"/>
        </w:rPr>
      </w:pPr>
    </w:p>
    <w:p w:rsidR="003C5DB1" w:rsidRPr="003C5DB1" w:rsidRDefault="00ED0F0D" w:rsidP="003C5DB1">
      <w:pPr>
        <w:pStyle w:val="NoSpacing"/>
        <w:rPr>
          <w:rFonts w:ascii="Arial Narrow" w:hAnsi="Arial Narrow"/>
          <w:sz w:val="24"/>
          <w:szCs w:val="24"/>
        </w:rPr>
      </w:pPr>
      <w:r w:rsidRPr="00ED0F0D">
        <w:rPr>
          <w:rFonts w:ascii="Arial Narrow" w:hAnsi="Arial Narrow"/>
          <w:sz w:val="24"/>
          <w:szCs w:val="24"/>
        </w:rPr>
        <w:t xml:space="preserve">29 August 2014 </w:t>
      </w:r>
      <w:r w:rsidR="003C5DB1" w:rsidRPr="00ED0F0D">
        <w:rPr>
          <w:rFonts w:ascii="Arial Narrow" w:hAnsi="Arial Narrow"/>
          <w:b/>
          <w:sz w:val="24"/>
          <w:szCs w:val="24"/>
        </w:rPr>
        <w:t>International Coalition to Ban Uranium Weapons (</w:t>
      </w:r>
      <w:proofErr w:type="spellStart"/>
      <w:r w:rsidR="003C5DB1" w:rsidRPr="00ED0F0D">
        <w:rPr>
          <w:rFonts w:ascii="Arial Narrow" w:hAnsi="Arial Narrow"/>
          <w:b/>
          <w:sz w:val="24"/>
          <w:szCs w:val="24"/>
        </w:rPr>
        <w:t>ICBUW</w:t>
      </w:r>
      <w:proofErr w:type="spellEnd"/>
      <w:r w:rsidR="003C5DB1" w:rsidRPr="00ED0F0D">
        <w:rPr>
          <w:rFonts w:ascii="Arial Narrow" w:hAnsi="Arial Narrow"/>
          <w:b/>
          <w:sz w:val="24"/>
          <w:szCs w:val="24"/>
        </w:rPr>
        <w:t>)</w:t>
      </w:r>
      <w:r w:rsidR="003C5DB1">
        <w:rPr>
          <w:rFonts w:ascii="Arial Narrow" w:hAnsi="Arial Narrow"/>
          <w:b/>
          <w:sz w:val="24"/>
          <w:szCs w:val="24"/>
        </w:rPr>
        <w:t xml:space="preserve"> </w:t>
      </w:r>
    </w:p>
    <w:p w:rsidR="003C5DB1" w:rsidRDefault="003C5DB1" w:rsidP="003C5DB1">
      <w:pPr>
        <w:pStyle w:val="NoSpacing"/>
        <w:rPr>
          <w:rFonts w:ascii="Arial Narrow" w:hAnsi="Arial Narrow"/>
          <w:sz w:val="24"/>
          <w:szCs w:val="24"/>
        </w:rPr>
      </w:pPr>
      <w:hyperlink r:id="rId4" w:history="1">
        <w:r w:rsidRPr="00C1509C">
          <w:rPr>
            <w:rStyle w:val="Hyperlink"/>
            <w:rFonts w:ascii="Arial Narrow" w:hAnsi="Arial Narrow"/>
            <w:sz w:val="24"/>
            <w:szCs w:val="24"/>
          </w:rPr>
          <w:t>http://www.bandepleteduranium.org/en/depleted-uranium-cancer-evidence-overwhelming</w:t>
        </w:r>
      </w:hyperlink>
    </w:p>
    <w:p w:rsidR="00ED0F0D" w:rsidRDefault="00ED0F0D" w:rsidP="00ED0F0D">
      <w:pPr>
        <w:pStyle w:val="NoSpacing"/>
        <w:rPr>
          <w:rFonts w:ascii="Arial Narrow" w:hAnsi="Arial Narrow"/>
          <w:sz w:val="24"/>
          <w:szCs w:val="24"/>
        </w:rPr>
      </w:pPr>
    </w:p>
    <w:p w:rsidR="003C5DB1" w:rsidRDefault="003C5DB1" w:rsidP="00ED0F0D">
      <w:pPr>
        <w:pStyle w:val="NoSpacing"/>
        <w:rPr>
          <w:rFonts w:ascii="Arial Narrow" w:hAnsi="Arial Narrow"/>
          <w:sz w:val="24"/>
          <w:szCs w:val="24"/>
        </w:rPr>
      </w:pPr>
    </w:p>
    <w:p w:rsidR="003C5DB1" w:rsidRDefault="003C5DB1" w:rsidP="00ED0F0D">
      <w:pPr>
        <w:pStyle w:val="NoSpacing"/>
        <w:rPr>
          <w:rFonts w:ascii="Arial Narrow" w:hAnsi="Arial Narrow"/>
          <w:sz w:val="24"/>
          <w:szCs w:val="24"/>
        </w:rPr>
      </w:pPr>
      <w:bookmarkStart w:id="0" w:name="_GoBack"/>
      <w:bookmarkEnd w:id="0"/>
    </w:p>
    <w:p w:rsidR="00626B77" w:rsidRPr="00ED0F0D" w:rsidRDefault="00626B77" w:rsidP="00ED0F0D">
      <w:pPr>
        <w:pStyle w:val="NoSpacing"/>
        <w:rPr>
          <w:rFonts w:ascii="Arial Narrow" w:hAnsi="Arial Narrow"/>
          <w:sz w:val="24"/>
          <w:szCs w:val="24"/>
        </w:rPr>
      </w:pPr>
    </w:p>
    <w:p w:rsidR="00ED0F0D" w:rsidRDefault="00ED0F0D" w:rsidP="00ED0F0D">
      <w:pPr>
        <w:pStyle w:val="NoSpacing"/>
        <w:rPr>
          <w:rFonts w:ascii="Arial Narrow" w:hAnsi="Arial Narrow"/>
          <w:sz w:val="24"/>
          <w:szCs w:val="24"/>
        </w:rPr>
      </w:pPr>
    </w:p>
    <w:p w:rsidR="00ED0F0D" w:rsidRDefault="00ED0F0D" w:rsidP="00ED0F0D">
      <w:pPr>
        <w:pStyle w:val="NoSpacing"/>
        <w:rPr>
          <w:rFonts w:ascii="Arial Narrow" w:hAnsi="Arial Narrow"/>
          <w:sz w:val="24"/>
          <w:szCs w:val="24"/>
        </w:rPr>
      </w:pPr>
      <w:r w:rsidRPr="00ED0F0D">
        <w:rPr>
          <w:rFonts w:ascii="Arial Narrow" w:hAnsi="Arial Narrow"/>
          <w:b/>
          <w:sz w:val="24"/>
          <w:szCs w:val="24"/>
        </w:rPr>
        <w:t>‘</w:t>
      </w:r>
      <w:r w:rsidRPr="00ED0F0D">
        <w:rPr>
          <w:rFonts w:ascii="Arial Narrow" w:hAnsi="Arial Narrow"/>
          <w:b/>
          <w:sz w:val="24"/>
          <w:szCs w:val="24"/>
        </w:rPr>
        <w:t>Radiation exposure from depleted uranium: The radiation bystander effect.</w:t>
      </w:r>
      <w:r w:rsidRPr="00ED0F0D">
        <w:rPr>
          <w:rFonts w:ascii="Arial Narrow" w:hAnsi="Arial Narrow"/>
          <w:b/>
          <w:sz w:val="24"/>
          <w:szCs w:val="24"/>
        </w:rPr>
        <w:t>’</w:t>
      </w:r>
      <w:r>
        <w:rPr>
          <w:rFonts w:ascii="Arial Narrow" w:hAnsi="Arial Narrow"/>
          <w:sz w:val="24"/>
          <w:szCs w:val="24"/>
        </w:rPr>
        <w:t xml:space="preserve"> </w:t>
      </w:r>
    </w:p>
    <w:p w:rsidR="00ED0F0D" w:rsidRPr="00ED0F0D" w:rsidRDefault="00ED0F0D" w:rsidP="00ED0F0D">
      <w:pPr>
        <w:pStyle w:val="NoSpacing"/>
        <w:rPr>
          <w:rFonts w:ascii="Arial Narrow" w:hAnsi="Arial Narrow"/>
          <w:sz w:val="24"/>
          <w:szCs w:val="24"/>
        </w:rPr>
      </w:pPr>
      <w:r w:rsidRPr="00ED0F0D">
        <w:rPr>
          <w:rFonts w:ascii="Arial Narrow" w:hAnsi="Arial Narrow"/>
          <w:sz w:val="24"/>
          <w:szCs w:val="24"/>
        </w:rPr>
        <w:t>Miller</w:t>
      </w:r>
      <w:r>
        <w:rPr>
          <w:rFonts w:ascii="Arial Narrow" w:hAnsi="Arial Narrow"/>
          <w:sz w:val="24"/>
          <w:szCs w:val="24"/>
        </w:rPr>
        <w:t xml:space="preserve"> AC, </w:t>
      </w:r>
      <w:r w:rsidRPr="00ED0F0D">
        <w:rPr>
          <w:rFonts w:ascii="Arial Narrow" w:hAnsi="Arial Narrow"/>
          <w:sz w:val="24"/>
          <w:szCs w:val="24"/>
        </w:rPr>
        <w:t xml:space="preserve">Rivas R, Tesoro L, </w:t>
      </w:r>
      <w:proofErr w:type="spellStart"/>
      <w:r w:rsidRPr="00ED0F0D">
        <w:rPr>
          <w:rFonts w:ascii="Arial Narrow" w:hAnsi="Arial Narrow"/>
          <w:sz w:val="24"/>
          <w:szCs w:val="24"/>
        </w:rPr>
        <w:t>Kovalenko</w:t>
      </w:r>
      <w:proofErr w:type="spellEnd"/>
      <w:r w:rsidRPr="00ED0F0D">
        <w:rPr>
          <w:rFonts w:ascii="Arial Narrow" w:hAnsi="Arial Narrow"/>
          <w:sz w:val="24"/>
          <w:szCs w:val="24"/>
        </w:rPr>
        <w:t xml:space="preserve"> G, </w:t>
      </w:r>
      <w:proofErr w:type="spellStart"/>
      <w:r w:rsidRPr="00ED0F0D">
        <w:rPr>
          <w:rFonts w:ascii="Arial Narrow" w:hAnsi="Arial Narrow"/>
          <w:sz w:val="24"/>
          <w:szCs w:val="24"/>
        </w:rPr>
        <w:t>Kovaric</w:t>
      </w:r>
      <w:proofErr w:type="spellEnd"/>
      <w:r w:rsidRPr="00ED0F0D">
        <w:rPr>
          <w:rFonts w:ascii="Arial Narrow" w:hAnsi="Arial Narrow"/>
          <w:sz w:val="24"/>
          <w:szCs w:val="24"/>
        </w:rPr>
        <w:t xml:space="preserve"> N, </w:t>
      </w:r>
      <w:proofErr w:type="spellStart"/>
      <w:r w:rsidRPr="00ED0F0D">
        <w:rPr>
          <w:rFonts w:ascii="Arial Narrow" w:hAnsi="Arial Narrow"/>
          <w:sz w:val="24"/>
          <w:szCs w:val="24"/>
        </w:rPr>
        <w:t>Pavlovic</w:t>
      </w:r>
      <w:proofErr w:type="spellEnd"/>
      <w:r w:rsidRPr="00ED0F0D">
        <w:rPr>
          <w:rFonts w:ascii="Arial Narrow" w:hAnsi="Arial Narrow"/>
          <w:sz w:val="24"/>
          <w:szCs w:val="24"/>
        </w:rPr>
        <w:t xml:space="preserve"> P, Brenner D.</w:t>
      </w:r>
    </w:p>
    <w:p w:rsidR="00ED0F0D" w:rsidRDefault="00ED0F0D" w:rsidP="00ED0F0D">
      <w:pPr>
        <w:pStyle w:val="NoSpacing"/>
        <w:rPr>
          <w:rFonts w:ascii="Arial Narrow" w:hAnsi="Arial Narrow"/>
          <w:sz w:val="24"/>
          <w:szCs w:val="24"/>
        </w:rPr>
      </w:pPr>
    </w:p>
    <w:p w:rsidR="00ED0F0D" w:rsidRPr="00ED0F0D" w:rsidRDefault="00ED0F0D" w:rsidP="00ED0F0D">
      <w:pPr>
        <w:pStyle w:val="NoSpacing"/>
        <w:rPr>
          <w:rFonts w:ascii="Arial Narrow" w:hAnsi="Arial Narrow"/>
          <w:sz w:val="24"/>
          <w:szCs w:val="24"/>
        </w:rPr>
      </w:pPr>
      <w:proofErr w:type="spellStart"/>
      <w:r w:rsidRPr="00ED0F0D">
        <w:rPr>
          <w:rFonts w:ascii="Arial Narrow" w:hAnsi="Arial Narrow"/>
          <w:sz w:val="24"/>
          <w:szCs w:val="24"/>
        </w:rPr>
        <w:t>Toxicol</w:t>
      </w:r>
      <w:proofErr w:type="spellEnd"/>
      <w:r w:rsidRPr="00ED0F0D">
        <w:rPr>
          <w:rFonts w:ascii="Arial Narrow" w:hAnsi="Arial Narrow"/>
          <w:sz w:val="24"/>
          <w:szCs w:val="24"/>
        </w:rPr>
        <w:t xml:space="preserve"> </w:t>
      </w:r>
      <w:proofErr w:type="spellStart"/>
      <w:r w:rsidRPr="00ED0F0D">
        <w:rPr>
          <w:rFonts w:ascii="Arial Narrow" w:hAnsi="Arial Narrow"/>
          <w:sz w:val="24"/>
          <w:szCs w:val="24"/>
        </w:rPr>
        <w:t>Appl</w:t>
      </w:r>
      <w:proofErr w:type="spellEnd"/>
      <w:r w:rsidRPr="00ED0F0D">
        <w:rPr>
          <w:rFonts w:ascii="Arial Narrow" w:hAnsi="Arial Narrow"/>
          <w:sz w:val="24"/>
          <w:szCs w:val="24"/>
        </w:rPr>
        <w:t xml:space="preserve"> </w:t>
      </w:r>
      <w:proofErr w:type="spellStart"/>
      <w:r w:rsidRPr="00ED0F0D">
        <w:rPr>
          <w:rFonts w:ascii="Arial Narrow" w:hAnsi="Arial Narrow"/>
          <w:sz w:val="24"/>
          <w:szCs w:val="24"/>
        </w:rPr>
        <w:t>Pharmacol</w:t>
      </w:r>
      <w:proofErr w:type="spellEnd"/>
      <w:r w:rsidRPr="00ED0F0D">
        <w:rPr>
          <w:rFonts w:ascii="Arial Narrow" w:hAnsi="Arial Narrow"/>
          <w:sz w:val="24"/>
          <w:szCs w:val="24"/>
        </w:rPr>
        <w:t>. 2017 Sep 15;</w:t>
      </w:r>
      <w:r>
        <w:rPr>
          <w:rFonts w:ascii="Arial Narrow" w:hAnsi="Arial Narrow"/>
          <w:sz w:val="24"/>
          <w:szCs w:val="24"/>
        </w:rPr>
        <w:t xml:space="preserve"> </w:t>
      </w:r>
      <w:r w:rsidRPr="00ED0F0D">
        <w:rPr>
          <w:rFonts w:ascii="Arial Narrow" w:hAnsi="Arial Narrow"/>
          <w:sz w:val="24"/>
          <w:szCs w:val="24"/>
        </w:rPr>
        <w:t xml:space="preserve">331:135-141. </w:t>
      </w:r>
      <w:proofErr w:type="spellStart"/>
      <w:proofErr w:type="gramStart"/>
      <w:r w:rsidRPr="00ED0F0D">
        <w:rPr>
          <w:rFonts w:ascii="Arial Narrow" w:hAnsi="Arial Narrow"/>
          <w:sz w:val="24"/>
          <w:szCs w:val="24"/>
        </w:rPr>
        <w:t>doi</w:t>
      </w:r>
      <w:proofErr w:type="spellEnd"/>
      <w:proofErr w:type="gramEnd"/>
      <w:r w:rsidRPr="00ED0F0D">
        <w:rPr>
          <w:rFonts w:ascii="Arial Narrow" w:hAnsi="Arial Narrow"/>
          <w:sz w:val="24"/>
          <w:szCs w:val="24"/>
        </w:rPr>
        <w:t>: 10.1016/</w:t>
      </w:r>
      <w:r>
        <w:rPr>
          <w:rFonts w:ascii="Arial Narrow" w:hAnsi="Arial Narrow"/>
          <w:sz w:val="24"/>
          <w:szCs w:val="24"/>
        </w:rPr>
        <w:t xml:space="preserve"> </w:t>
      </w:r>
      <w:proofErr w:type="spellStart"/>
      <w:r w:rsidRPr="00ED0F0D">
        <w:rPr>
          <w:rFonts w:ascii="Arial Narrow" w:hAnsi="Arial Narrow"/>
          <w:sz w:val="24"/>
          <w:szCs w:val="24"/>
        </w:rPr>
        <w:t>j.taap.2017.06.004</w:t>
      </w:r>
      <w:proofErr w:type="spellEnd"/>
      <w:r w:rsidRPr="00ED0F0D">
        <w:rPr>
          <w:rFonts w:ascii="Arial Narrow" w:hAnsi="Arial Narrow"/>
          <w:sz w:val="24"/>
          <w:szCs w:val="24"/>
        </w:rPr>
        <w:t xml:space="preserve">. </w:t>
      </w:r>
      <w:proofErr w:type="spellStart"/>
      <w:r w:rsidRPr="00ED0F0D">
        <w:rPr>
          <w:rFonts w:ascii="Arial Narrow" w:hAnsi="Arial Narrow"/>
          <w:sz w:val="24"/>
          <w:szCs w:val="24"/>
        </w:rPr>
        <w:t>Epub</w:t>
      </w:r>
      <w:proofErr w:type="spellEnd"/>
      <w:r w:rsidRPr="00ED0F0D">
        <w:rPr>
          <w:rFonts w:ascii="Arial Narrow" w:hAnsi="Arial Narrow"/>
          <w:sz w:val="24"/>
          <w:szCs w:val="24"/>
        </w:rPr>
        <w:t xml:space="preserve"> 2017 Jun</w:t>
      </w:r>
      <w:r>
        <w:rPr>
          <w:rFonts w:ascii="Arial Narrow" w:hAnsi="Arial Narrow"/>
          <w:sz w:val="24"/>
          <w:szCs w:val="24"/>
        </w:rPr>
        <w:t>e</w:t>
      </w:r>
      <w:r w:rsidRPr="00ED0F0D">
        <w:rPr>
          <w:rFonts w:ascii="Arial Narrow" w:hAnsi="Arial Narrow"/>
          <w:sz w:val="24"/>
          <w:szCs w:val="24"/>
        </w:rPr>
        <w:t xml:space="preserve"> 9.</w:t>
      </w:r>
      <w:r>
        <w:rPr>
          <w:rFonts w:ascii="Arial Narrow" w:hAnsi="Arial Narrow"/>
          <w:sz w:val="24"/>
          <w:szCs w:val="24"/>
        </w:rPr>
        <w:t xml:space="preserve"> </w:t>
      </w:r>
      <w:hyperlink r:id="rId5" w:history="1">
        <w:r w:rsidRPr="00ED0F0D">
          <w:rPr>
            <w:rStyle w:val="Hyperlink"/>
            <w:rFonts w:ascii="Arial Narrow" w:hAnsi="Arial Narrow"/>
            <w:sz w:val="24"/>
            <w:szCs w:val="24"/>
          </w:rPr>
          <w:t>https://</w:t>
        </w:r>
        <w:proofErr w:type="spellStart"/>
        <w:r w:rsidRPr="00ED0F0D">
          <w:rPr>
            <w:rStyle w:val="Hyperlink"/>
            <w:rFonts w:ascii="Arial Narrow" w:hAnsi="Arial Narrow"/>
            <w:sz w:val="24"/>
            <w:szCs w:val="24"/>
          </w:rPr>
          <w:t>www.ncbi.n</w:t>
        </w:r>
        <w:r w:rsidRPr="00ED0F0D">
          <w:rPr>
            <w:rStyle w:val="Hyperlink"/>
            <w:rFonts w:ascii="Arial Narrow" w:hAnsi="Arial Narrow"/>
            <w:sz w:val="24"/>
            <w:szCs w:val="24"/>
          </w:rPr>
          <w:t>l</w:t>
        </w:r>
        <w:r w:rsidRPr="00ED0F0D">
          <w:rPr>
            <w:rStyle w:val="Hyperlink"/>
            <w:rFonts w:ascii="Arial Narrow" w:hAnsi="Arial Narrow"/>
            <w:sz w:val="24"/>
            <w:szCs w:val="24"/>
          </w:rPr>
          <w:t>m.nih.gov</w:t>
        </w:r>
        <w:proofErr w:type="spellEnd"/>
        <w:r w:rsidRPr="00ED0F0D">
          <w:rPr>
            <w:rStyle w:val="Hyperlink"/>
            <w:rFonts w:ascii="Arial Narrow" w:hAnsi="Arial Narrow"/>
            <w:sz w:val="24"/>
            <w:szCs w:val="24"/>
          </w:rPr>
          <w:t>/</w:t>
        </w:r>
        <w:proofErr w:type="spellStart"/>
        <w:r w:rsidRPr="00ED0F0D">
          <w:rPr>
            <w:rStyle w:val="Hyperlink"/>
            <w:rFonts w:ascii="Arial Narrow" w:hAnsi="Arial Narrow"/>
            <w:sz w:val="24"/>
            <w:szCs w:val="24"/>
          </w:rPr>
          <w:t>pubmed</w:t>
        </w:r>
        <w:proofErr w:type="spellEnd"/>
        <w:r w:rsidRPr="00ED0F0D">
          <w:rPr>
            <w:rStyle w:val="Hyperlink"/>
            <w:rFonts w:ascii="Arial Narrow" w:hAnsi="Arial Narrow"/>
            <w:sz w:val="24"/>
            <w:szCs w:val="24"/>
          </w:rPr>
          <w:t>/28602947</w:t>
        </w:r>
      </w:hyperlink>
    </w:p>
    <w:p w:rsidR="00ED0F0D" w:rsidRPr="00ED0F0D" w:rsidRDefault="00ED0F0D" w:rsidP="00ED0F0D">
      <w:pPr>
        <w:pStyle w:val="NoSpacing"/>
        <w:rPr>
          <w:rFonts w:ascii="Arial Narrow" w:hAnsi="Arial Narrow"/>
          <w:sz w:val="24"/>
          <w:szCs w:val="24"/>
        </w:rPr>
      </w:pPr>
    </w:p>
    <w:p w:rsidR="00ED0F0D" w:rsidRPr="003C5DB1" w:rsidRDefault="00ED0F0D" w:rsidP="00ED0F0D">
      <w:pPr>
        <w:pStyle w:val="NoSpacing"/>
        <w:rPr>
          <w:rFonts w:ascii="Arial Narrow" w:hAnsi="Arial Narrow"/>
          <w:b/>
          <w:sz w:val="24"/>
          <w:szCs w:val="24"/>
        </w:rPr>
      </w:pPr>
      <w:r w:rsidRPr="003C5DB1">
        <w:rPr>
          <w:rFonts w:ascii="Arial Narrow" w:hAnsi="Arial Narrow"/>
          <w:b/>
          <w:sz w:val="24"/>
          <w:szCs w:val="24"/>
        </w:rPr>
        <w:t>Abstract</w:t>
      </w:r>
    </w:p>
    <w:p w:rsidR="00ED0F0D" w:rsidRDefault="00ED0F0D" w:rsidP="00ED0F0D">
      <w:pPr>
        <w:pStyle w:val="NoSpacing"/>
        <w:rPr>
          <w:rFonts w:ascii="Arial Narrow" w:hAnsi="Arial Narrow"/>
          <w:sz w:val="24"/>
          <w:szCs w:val="24"/>
        </w:rPr>
      </w:pPr>
      <w:r w:rsidRPr="00ED0F0D">
        <w:rPr>
          <w:rFonts w:ascii="Arial Narrow" w:hAnsi="Arial Narrow"/>
          <w:sz w:val="24"/>
          <w:szCs w:val="24"/>
        </w:rPr>
        <w:t>Depleted uranium (DU) is a radioactive heavy metal used primarily in military applications. Published data from our laboratory have demonstrated that DU exposure in vitro to immortalized human osteoblast cells (</w:t>
      </w:r>
      <w:proofErr w:type="spellStart"/>
      <w:r w:rsidRPr="00ED0F0D">
        <w:rPr>
          <w:rFonts w:ascii="Arial Narrow" w:hAnsi="Arial Narrow"/>
          <w:sz w:val="24"/>
          <w:szCs w:val="24"/>
        </w:rPr>
        <w:t>HOS</w:t>
      </w:r>
      <w:proofErr w:type="spellEnd"/>
      <w:r w:rsidRPr="00ED0F0D">
        <w:rPr>
          <w:rFonts w:ascii="Arial Narrow" w:hAnsi="Arial Narrow"/>
          <w:sz w:val="24"/>
          <w:szCs w:val="24"/>
        </w:rPr>
        <w:t xml:space="preserve">) is both </w:t>
      </w:r>
      <w:proofErr w:type="spellStart"/>
      <w:r w:rsidRPr="00ED0F0D">
        <w:rPr>
          <w:rFonts w:ascii="Arial Narrow" w:hAnsi="Arial Narrow"/>
          <w:sz w:val="24"/>
          <w:szCs w:val="24"/>
        </w:rPr>
        <w:t>neoplastically</w:t>
      </w:r>
      <w:proofErr w:type="spellEnd"/>
      <w:r w:rsidRPr="00ED0F0D">
        <w:rPr>
          <w:rFonts w:ascii="Arial Narrow" w:hAnsi="Arial Narrow"/>
          <w:sz w:val="24"/>
          <w:szCs w:val="24"/>
        </w:rPr>
        <w:t xml:space="preserve"> transforming and genotoxic. In vivo studies have also demonstrated that DU is </w:t>
      </w:r>
      <w:proofErr w:type="spellStart"/>
      <w:r w:rsidRPr="00ED0F0D">
        <w:rPr>
          <w:rFonts w:ascii="Arial Narrow" w:hAnsi="Arial Narrow"/>
          <w:sz w:val="24"/>
          <w:szCs w:val="24"/>
        </w:rPr>
        <w:t>leukemogenic</w:t>
      </w:r>
      <w:proofErr w:type="spellEnd"/>
      <w:r w:rsidRPr="00ED0F0D">
        <w:rPr>
          <w:rFonts w:ascii="Arial Narrow" w:hAnsi="Arial Narrow"/>
          <w:sz w:val="24"/>
          <w:szCs w:val="24"/>
        </w:rPr>
        <w:t xml:space="preserve"> and genotoxic. DU possesses both a radiological (alpha particle) and chemical (metal) component but is generally considered a chemical biohazard. Studies have shown that alpha particle radiation does play a role in </w:t>
      </w:r>
      <w:proofErr w:type="spellStart"/>
      <w:r w:rsidRPr="00ED0F0D">
        <w:rPr>
          <w:rFonts w:ascii="Arial Narrow" w:hAnsi="Arial Narrow"/>
          <w:sz w:val="24"/>
          <w:szCs w:val="24"/>
        </w:rPr>
        <w:t>DU's</w:t>
      </w:r>
      <w:proofErr w:type="spellEnd"/>
      <w:r w:rsidRPr="00ED0F0D">
        <w:rPr>
          <w:rFonts w:ascii="Arial Narrow" w:hAnsi="Arial Narrow"/>
          <w:sz w:val="24"/>
          <w:szCs w:val="24"/>
        </w:rPr>
        <w:t xml:space="preserve"> toxic effects. Evidence has accumulated that non-irradiated cells in the vicinity of irradiated cells can have a response to ionization events. The purpose of this study was to determine if these "bystander effects" play a role in </w:t>
      </w:r>
      <w:proofErr w:type="spellStart"/>
      <w:r w:rsidRPr="00ED0F0D">
        <w:rPr>
          <w:rFonts w:ascii="Arial Narrow" w:hAnsi="Arial Narrow"/>
          <w:sz w:val="24"/>
          <w:szCs w:val="24"/>
        </w:rPr>
        <w:t>DU's</w:t>
      </w:r>
      <w:proofErr w:type="spellEnd"/>
      <w:r w:rsidRPr="00ED0F0D">
        <w:rPr>
          <w:rFonts w:ascii="Arial Narrow" w:hAnsi="Arial Narrow"/>
          <w:sz w:val="24"/>
          <w:szCs w:val="24"/>
        </w:rPr>
        <w:t xml:space="preserve"> toxic and neoplastic effects using </w:t>
      </w:r>
      <w:proofErr w:type="spellStart"/>
      <w:r w:rsidRPr="00ED0F0D">
        <w:rPr>
          <w:rFonts w:ascii="Arial Narrow" w:hAnsi="Arial Narrow"/>
          <w:sz w:val="24"/>
          <w:szCs w:val="24"/>
        </w:rPr>
        <w:t>HOS</w:t>
      </w:r>
      <w:proofErr w:type="spellEnd"/>
      <w:r w:rsidRPr="00ED0F0D">
        <w:rPr>
          <w:rFonts w:ascii="Arial Narrow" w:hAnsi="Arial Narrow"/>
          <w:sz w:val="24"/>
          <w:szCs w:val="24"/>
        </w:rPr>
        <w:t xml:space="preserve"> cells. We investigated the bystander responses between DU-exposed cells and non-exposed cells by co-culturing the two equal populations. Decreased cell survival and increased neoplastic transformation were observed in the non-DU exposed cells following 4 or </w:t>
      </w:r>
      <w:proofErr w:type="spellStart"/>
      <w:r w:rsidRPr="00ED0F0D">
        <w:rPr>
          <w:rFonts w:ascii="Arial Narrow" w:hAnsi="Arial Narrow"/>
          <w:sz w:val="24"/>
          <w:szCs w:val="24"/>
        </w:rPr>
        <w:t>24h</w:t>
      </w:r>
      <w:proofErr w:type="spellEnd"/>
      <w:r w:rsidRPr="00ED0F0D">
        <w:rPr>
          <w:rFonts w:ascii="Arial Narrow" w:hAnsi="Arial Narrow"/>
          <w:sz w:val="24"/>
          <w:szCs w:val="24"/>
        </w:rPr>
        <w:t xml:space="preserve"> co-culture. In contrast Ni (II</w:t>
      </w:r>
      <w:proofErr w:type="gramStart"/>
      <w:r w:rsidRPr="00ED0F0D">
        <w:rPr>
          <w:rFonts w:ascii="Arial Narrow" w:hAnsi="Arial Narrow"/>
          <w:sz w:val="24"/>
          <w:szCs w:val="24"/>
        </w:rPr>
        <w:t>)-</w:t>
      </w:r>
      <w:proofErr w:type="gramEnd"/>
      <w:r w:rsidRPr="00ED0F0D">
        <w:rPr>
          <w:rFonts w:ascii="Arial Narrow" w:hAnsi="Arial Narrow"/>
          <w:sz w:val="24"/>
          <w:szCs w:val="24"/>
        </w:rPr>
        <w:t xml:space="preserve"> or Cr(VI)- exposed cells were unable to alter those biological effects in non-Ni(II) or non-Cr(VI) exposed co-cultured cells. Transfer experiments using medium from the DU-exposed and non-exposed co-cultured cells was able to cause adverse biological responses in cells; these results demonstrated that a factor (s) is secreted into the co-culture medium which is involved in this DU-associated bystander effect. This novel effect of DU exposure could have implications for radiation risk and for health risk assessment associated with DU exposure.</w:t>
      </w:r>
    </w:p>
    <w:p w:rsidR="003C5DB1" w:rsidRPr="00ED0F0D" w:rsidRDefault="003C5DB1" w:rsidP="00ED0F0D">
      <w:pPr>
        <w:pStyle w:val="NoSpacing"/>
        <w:rPr>
          <w:rFonts w:ascii="Arial Narrow" w:hAnsi="Arial Narrow"/>
          <w:sz w:val="24"/>
          <w:szCs w:val="24"/>
        </w:rPr>
      </w:pPr>
    </w:p>
    <w:p w:rsidR="00ED0F0D" w:rsidRPr="00ED0F0D" w:rsidRDefault="00ED0F0D" w:rsidP="00ED0F0D">
      <w:pPr>
        <w:pStyle w:val="NoSpacing"/>
        <w:rPr>
          <w:rFonts w:ascii="Arial Narrow" w:hAnsi="Arial Narrow"/>
          <w:sz w:val="24"/>
          <w:szCs w:val="24"/>
        </w:rPr>
      </w:pPr>
      <w:r w:rsidRPr="00ED0F0D">
        <w:rPr>
          <w:rFonts w:ascii="Arial Narrow" w:hAnsi="Arial Narrow"/>
          <w:sz w:val="24"/>
          <w:szCs w:val="24"/>
        </w:rPr>
        <w:t>Copyright © 2017. Published by Elsevier Inc.</w:t>
      </w:r>
    </w:p>
    <w:p w:rsidR="00ED0F0D" w:rsidRPr="00ED0F0D" w:rsidRDefault="00ED0F0D" w:rsidP="00ED0F0D">
      <w:pPr>
        <w:pStyle w:val="NoSpacing"/>
        <w:rPr>
          <w:rFonts w:ascii="Arial Narrow" w:hAnsi="Arial Narrow"/>
          <w:sz w:val="24"/>
          <w:szCs w:val="24"/>
        </w:rPr>
      </w:pPr>
      <w:proofErr w:type="spellStart"/>
      <w:r w:rsidRPr="00ED0F0D">
        <w:rPr>
          <w:rFonts w:ascii="Arial Narrow" w:hAnsi="Arial Narrow"/>
          <w:sz w:val="24"/>
          <w:szCs w:val="24"/>
        </w:rPr>
        <w:t>PMID</w:t>
      </w:r>
      <w:proofErr w:type="spellEnd"/>
      <w:r w:rsidRPr="00ED0F0D">
        <w:rPr>
          <w:rFonts w:ascii="Arial Narrow" w:hAnsi="Arial Narrow"/>
          <w:sz w:val="24"/>
          <w:szCs w:val="24"/>
        </w:rPr>
        <w:t xml:space="preserve">: 28602947 </w:t>
      </w:r>
      <w:proofErr w:type="spellStart"/>
      <w:r w:rsidRPr="00ED0F0D">
        <w:rPr>
          <w:rFonts w:ascii="Arial Narrow" w:hAnsi="Arial Narrow"/>
          <w:sz w:val="24"/>
          <w:szCs w:val="24"/>
        </w:rPr>
        <w:t>DOI</w:t>
      </w:r>
      <w:proofErr w:type="spellEnd"/>
      <w:r w:rsidRPr="00ED0F0D">
        <w:rPr>
          <w:rFonts w:ascii="Arial Narrow" w:hAnsi="Arial Narrow"/>
          <w:sz w:val="24"/>
          <w:szCs w:val="24"/>
        </w:rPr>
        <w:t>: 10.1016/</w:t>
      </w:r>
      <w:proofErr w:type="spellStart"/>
      <w:r w:rsidRPr="00ED0F0D">
        <w:rPr>
          <w:rFonts w:ascii="Arial Narrow" w:hAnsi="Arial Narrow"/>
          <w:sz w:val="24"/>
          <w:szCs w:val="24"/>
        </w:rPr>
        <w:t>j.taap.2017.06.004</w:t>
      </w:r>
      <w:proofErr w:type="spellEnd"/>
      <w:r w:rsidRPr="00ED0F0D">
        <w:rPr>
          <w:rFonts w:ascii="Arial Narrow" w:hAnsi="Arial Narrow"/>
          <w:sz w:val="24"/>
          <w:szCs w:val="24"/>
        </w:rPr>
        <w:t xml:space="preserve"> </w:t>
      </w:r>
    </w:p>
    <w:sectPr w:rsidR="00ED0F0D" w:rsidRPr="00ED0F0D" w:rsidSect="00913AE2">
      <w:type w:val="continuous"/>
      <w:pgSz w:w="11907" w:h="16840" w:code="9"/>
      <w:pgMar w:top="1440" w:right="1584" w:bottom="1440" w:left="2160" w:header="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0D"/>
    <w:rsid w:val="000A3B7F"/>
    <w:rsid w:val="003C034D"/>
    <w:rsid w:val="003C5DB1"/>
    <w:rsid w:val="004D3A9A"/>
    <w:rsid w:val="005019E4"/>
    <w:rsid w:val="005F78C4"/>
    <w:rsid w:val="00626B77"/>
    <w:rsid w:val="006428FE"/>
    <w:rsid w:val="00913AE2"/>
    <w:rsid w:val="00A137EC"/>
    <w:rsid w:val="00B83288"/>
    <w:rsid w:val="00E26B10"/>
    <w:rsid w:val="00ED0F0D"/>
    <w:rsid w:val="00F0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56A1-9A90-443B-9B53-8824882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0D"/>
    <w:rPr>
      <w:color w:val="0563C1" w:themeColor="hyperlink"/>
      <w:u w:val="single"/>
    </w:rPr>
  </w:style>
  <w:style w:type="paragraph" w:styleId="NoSpacing">
    <w:name w:val="No Spacing"/>
    <w:uiPriority w:val="1"/>
    <w:qFormat/>
    <w:rsid w:val="00ED0F0D"/>
    <w:pPr>
      <w:spacing w:after="0" w:line="240" w:lineRule="auto"/>
    </w:pPr>
    <w:rPr>
      <w:lang w:val="en-GB"/>
    </w:rPr>
  </w:style>
  <w:style w:type="character" w:styleId="FollowedHyperlink">
    <w:name w:val="FollowedHyperlink"/>
    <w:basedOn w:val="DefaultParagraphFont"/>
    <w:uiPriority w:val="99"/>
    <w:semiHidden/>
    <w:unhideWhenUsed/>
    <w:rsid w:val="00ED0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8602947" TargetMode="External"/><Relationship Id="rId4" Type="http://schemas.openxmlformats.org/officeDocument/2006/relationships/hyperlink" Target="http://www.bandepleteduranium.org/en/depleted-uranium-cancer-evidence-overwhel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2017-09-08T00:19:00Z</dcterms:created>
  <dcterms:modified xsi:type="dcterms:W3CDTF">2017-09-08T00:34:00Z</dcterms:modified>
</cp:coreProperties>
</file>